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222B0C" w:rsidP="00185440">
      <w:pPr>
        <w:rPr>
          <w:rFonts w:ascii="UD デジタル 教科書体 NK-R" w:eastAsia="UD デジタル 教科書体 NK-R"/>
          <w:szCs w:val="21"/>
          <w:u w:val="single"/>
        </w:rPr>
      </w:pPr>
      <w:r w:rsidRPr="00222B0C">
        <w:rPr>
          <w:rFonts w:ascii="UD デジタル 教科書体 NK-R" w:eastAsia="UD デジタル 教科書体 NK-R" w:hint="eastAsia"/>
          <w:szCs w:val="21"/>
          <w:u w:val="single"/>
        </w:rPr>
        <w:t>中部地方</w:t>
      </w:r>
    </w:p>
    <w:p w:rsidR="00222B0C" w:rsidRPr="00193773" w:rsidRDefault="00222B0C"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222B0C" w:rsidRPr="00222B0C">
        <w:rPr>
          <w:rFonts w:ascii="UD デジタル 教科書体 NK-R" w:eastAsia="UD デジタル 教科書体 NK-R" w:hint="eastAsia"/>
          <w:szCs w:val="21"/>
        </w:rPr>
        <w:t>中部地方を東海、北陸、中央高地に分けたとき、自然環境や交通網の発達と関連付けて中央高地の産業の特色を説明しましょう。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222B0C" w:rsidP="00D94317">
            <w:pPr>
              <w:rPr>
                <w:rFonts w:ascii="UD デジタル 教科書体 NK-R" w:eastAsia="UD デジタル 教科書体 NK-R" w:hAnsi="BIZ UDゴシック"/>
                <w:color w:val="767171" w:themeColor="background2" w:themeShade="80"/>
                <w:szCs w:val="21"/>
              </w:rPr>
            </w:pPr>
            <w:r w:rsidRPr="00222B0C">
              <w:rPr>
                <w:rFonts w:ascii="UD デジタル 教科書体 NK-R" w:eastAsia="UD デジタル 教科書体 NK-R" w:hAnsi="BIZ UDPゴシック" w:hint="eastAsia"/>
                <w:szCs w:val="21"/>
              </w:rPr>
              <w:t>自然環境や交通網の発達の良さを生かした中央高地の産業の特色を具体的に記述している。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222B0C" w:rsidP="00D94317">
            <w:pPr>
              <w:rPr>
                <w:rFonts w:ascii="UD デジタル 教科書体 NK-R" w:eastAsia="UD デジタル 教科書体 NK-R" w:hAnsi="BIZ UDゴシック"/>
                <w:color w:val="767171" w:themeColor="background2" w:themeShade="80"/>
                <w:szCs w:val="21"/>
              </w:rPr>
            </w:pPr>
            <w:r w:rsidRPr="00222B0C">
              <w:rPr>
                <w:rFonts w:ascii="UD デジタル 教科書体 NK-R" w:eastAsia="UD デジタル 教科書体 NK-R" w:hAnsi="BIZ UDPゴシック" w:hint="eastAsia"/>
                <w:szCs w:val="21"/>
              </w:rPr>
              <w:t>自然環境や交通網の発達と関連付けて中央高地の産業の特色を記述している。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222B0C" w:rsidP="00D94317">
            <w:pPr>
              <w:rPr>
                <w:rFonts w:ascii="UD デジタル 教科書体 NK-R" w:eastAsia="UD デジタル 教科書体 NK-R" w:hAnsi="BIZ UDゴシック"/>
                <w:color w:val="767171" w:themeColor="background2" w:themeShade="80"/>
                <w:szCs w:val="21"/>
              </w:rPr>
            </w:pPr>
            <w:r w:rsidRPr="00222B0C">
              <w:rPr>
                <w:rFonts w:ascii="UD デジタル 教科書体 NK-R" w:eastAsia="UD デジタル 教科書体 NK-R" w:hAnsi="BIZ UDPゴシック" w:hint="eastAsia"/>
                <w:szCs w:val="21"/>
              </w:rPr>
              <w:t>自然環境や交通網の発達との関連付けが不十分な記述である。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222B0C" w:rsidRPr="00222B0C">
        <w:rPr>
          <w:rFonts w:ascii="UD デジタル 教科書体 NK-R" w:eastAsia="UD デジタル 教科書体 NK-R" w:hAnsi="BIZ UDPゴシック" w:hint="eastAsia"/>
          <w:szCs w:val="21"/>
        </w:rPr>
        <w:t>農業では、扇状地を利用した果樹栽培や、冷涼な気候を生かした高原野菜の栽培が盛んで、工業では、高速道路が整備されたことで、清潔な水資源などを必要とする精密機械工業や電子機械工業の工場が多数進出し、発達した。</w:t>
      </w:r>
    </w:p>
    <w:p w:rsidR="00222B0C" w:rsidRDefault="00D94317" w:rsidP="00222B0C">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222B0C" w:rsidRPr="00222B0C">
        <w:rPr>
          <w:rFonts w:ascii="UD デジタル 教科書体 NK-R" w:eastAsia="UD デジタル 教科書体 NK-R" w:hAnsi="BIZ UDPゴシック" w:hint="eastAsia"/>
          <w:szCs w:val="21"/>
        </w:rPr>
        <w:t>山地や高地の特色を生かした果樹栽培や高原野菜の栽培が盛んで、高速道路を利</w:t>
      </w:r>
    </w:p>
    <w:p w:rsidR="00D75F73" w:rsidRPr="00193773" w:rsidRDefault="00222B0C" w:rsidP="00222B0C">
      <w:pPr>
        <w:ind w:firstLineChars="300" w:firstLine="630"/>
        <w:rPr>
          <w:rFonts w:ascii="UD デジタル 教科書体 NK-R" w:eastAsia="UD デジタル 教科書体 NK-R"/>
          <w:szCs w:val="21"/>
        </w:rPr>
      </w:pPr>
      <w:r w:rsidRPr="00222B0C">
        <w:rPr>
          <w:rFonts w:ascii="UD デジタル 教科書体 NK-R" w:eastAsia="UD デジタル 教科書体 NK-R" w:hAnsi="BIZ UDPゴシック" w:hint="eastAsia"/>
          <w:szCs w:val="21"/>
        </w:rPr>
        <w:t>用して都市向けに出荷している。</w:t>
      </w:r>
    </w:p>
    <w:p w:rsidR="00D22B86" w:rsidRDefault="00D22B86" w:rsidP="00D22B86">
      <w:pPr>
        <w:rPr>
          <w:rFonts w:ascii="UD デジタル 教科書体 NK-R" w:eastAsia="UD デジタル 教科書体 NK-R"/>
          <w:szCs w:val="21"/>
        </w:rPr>
      </w:pPr>
    </w:p>
    <w:p w:rsidR="00222B0C" w:rsidRPr="00222B0C" w:rsidRDefault="00222B0C" w:rsidP="00D22B86">
      <w:pPr>
        <w:rPr>
          <w:rFonts w:ascii="UD デジタル 教科書体 NK-R" w:eastAsia="UD デジタル 教科書体 NK-R"/>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22B0C"/>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4A3663C"/>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B62C8-920A-4AD6-9883-4031566AE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2022-01-21T01:09:00Z</dcterms:modified>
</cp:coreProperties>
</file>